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70" w:rsidRDefault="00BB5503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PROJECT: Productivity gains from</w:t>
      </w:r>
      <w:r w:rsidRPr="00CA1C1D">
        <w:rPr>
          <w:rFonts w:ascii="Verdana" w:hAnsi="Verdana" w:cs="Arial"/>
          <w:b/>
          <w:sz w:val="18"/>
          <w:szCs w:val="18"/>
        </w:rPr>
        <w:t xml:space="preserve"> biologically active</w:t>
      </w:r>
      <w:r>
        <w:rPr>
          <w:rFonts w:ascii="Verdana" w:hAnsi="Verdana" w:cs="Arial"/>
          <w:b/>
          <w:sz w:val="18"/>
          <w:szCs w:val="18"/>
        </w:rPr>
        <w:t xml:space="preserve"> soil initiated through biochar-</w:t>
      </w:r>
      <w:r w:rsidRPr="00CA1C1D">
        <w:rPr>
          <w:rFonts w:ascii="Verdana" w:hAnsi="Verdana" w:cs="Arial"/>
          <w:b/>
          <w:sz w:val="18"/>
          <w:szCs w:val="18"/>
        </w:rPr>
        <w:t>activated compost in an avocado orchard</w:t>
      </w:r>
      <w:r>
        <w:rPr>
          <w:rFonts w:ascii="Verdana" w:hAnsi="Verdana" w:cs="Arial"/>
          <w:b/>
          <w:sz w:val="18"/>
          <w:szCs w:val="18"/>
        </w:rPr>
        <w:t>.</w:t>
      </w:r>
    </w:p>
    <w:p w:rsidR="00BB5503" w:rsidRDefault="00BB5503">
      <w:pPr>
        <w:rPr>
          <w:rFonts w:ascii="Verdana" w:hAnsi="Verdana" w:cs="Arial"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4CA52" wp14:editId="0DA29E95">
                <wp:simplePos x="0" y="0"/>
                <wp:positionH relativeFrom="column">
                  <wp:posOffset>3209925</wp:posOffset>
                </wp:positionH>
                <wp:positionV relativeFrom="paragraph">
                  <wp:posOffset>277495</wp:posOffset>
                </wp:positionV>
                <wp:extent cx="3476625" cy="4038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E4" w:rsidRDefault="007353E4" w:rsidP="007353E4">
                            <w:pPr>
                              <w:spacing w:after="0" w:line="240" w:lineRule="auto"/>
                            </w:pPr>
                            <w:r>
                              <w:t>LEGEND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Pr="00691E7E">
                              <w:rPr>
                                <w:sz w:val="18"/>
                                <w:szCs w:val="18"/>
                              </w:rPr>
                              <w:tab/>
                              <w:t>Proportion of biochar V/V added to topsoil 3.5m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 w:hanging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>% biochar mixed in top 50cm of row 3.5m wide x 55m per block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691E7E">
                              <w:rPr>
                                <w:sz w:val="18"/>
                                <w:szCs w:val="18"/>
                              </w:rPr>
                              <w:tab/>
                              <w:t>Chicken manure/woody chip mulch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 w:hanging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Ratio: </w:t>
                            </w:r>
                            <w:proofErr w:type="gramStart"/>
                            <w:r w:rsidRPr="00691E7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1E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>Chicken</w:t>
                            </w:r>
                            <w:proofErr w:type="gramEnd"/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manure (50:50 ground </w:t>
                            </w:r>
                            <w:proofErr w:type="spellStart"/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>wood:manure</w:t>
                            </w:r>
                            <w:proofErr w:type="spellEnd"/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>); m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course woody chips; m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old small sawdust  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>B-A-C</w:t>
                            </w:r>
                            <w:r w:rsidRPr="00691E7E">
                              <w:rPr>
                                <w:sz w:val="18"/>
                                <w:szCs w:val="18"/>
                              </w:rPr>
                              <w:tab/>
                              <w:t>Biochar-activated chicken manure/woody chip mulch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 xml:space="preserve">Ratio: </w:t>
                            </w:r>
                            <w:proofErr w:type="gramStart"/>
                            <w:r w:rsidRPr="00691E7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1E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>Chicken</w:t>
                            </w:r>
                            <w:proofErr w:type="gramEnd"/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manure (50:50 ground </w:t>
                            </w:r>
                            <w:proofErr w:type="spellStart"/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>wood:manure</w:t>
                            </w:r>
                            <w:proofErr w:type="spellEnd"/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>); m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course woody chips; m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old small sawdust; m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691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biochar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>NIL</w:t>
                            </w:r>
                            <w:r w:rsidRPr="00691E7E">
                              <w:rPr>
                                <w:sz w:val="18"/>
                                <w:szCs w:val="18"/>
                              </w:rPr>
                              <w:tab/>
                              <w:t>Control with no nutrient rich composting mulch, standard industry practice applied</w:t>
                            </w:r>
                          </w:p>
                          <w:p w:rsidR="007353E4" w:rsidRPr="00691E7E" w:rsidRDefault="00DE7D6B" w:rsidP="007353E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>Each application has a replicate and matched pair (control)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>All will receive standard industry practice additional to treatments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>Each treatment is repeated for three soil types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>Trees are planted 4.5m apart, staked, sprinkler per tree, electronically tagged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>Rows are spaced at 9m intervals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 xml:space="preserve">Rows deep ripped (60cm), rotary hoed </w:t>
                            </w: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3E4" w:rsidRPr="00691E7E" w:rsidRDefault="007353E4" w:rsidP="007353E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91E7E">
                              <w:rPr>
                                <w:sz w:val="18"/>
                                <w:szCs w:val="18"/>
                              </w:rPr>
                              <w:t xml:space="preserve">Planting zone 3.5m biochar (V/V) rotary hoed </w:t>
                            </w:r>
                            <w:proofErr w:type="spellStart"/>
                            <w:r w:rsidRPr="00691E7E">
                              <w:rPr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Pr="00691E7E">
                              <w:rPr>
                                <w:sz w:val="18"/>
                                <w:szCs w:val="18"/>
                              </w:rPr>
                              <w:t xml:space="preserve"> varying heights mounding will result</w:t>
                            </w:r>
                          </w:p>
                          <w:p w:rsidR="007353E4" w:rsidRDefault="00735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4C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21.85pt;width:273.7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">
                <v:textbox>
                  <w:txbxContent>
                    <w:p w:rsidR="007353E4" w:rsidRDefault="007353E4" w:rsidP="007353E4">
                      <w:pPr>
                        <w:spacing w:after="0" w:line="240" w:lineRule="auto"/>
                      </w:pPr>
                      <w:r>
                        <w:t>LEGEND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>%</w:t>
                      </w:r>
                      <w:r w:rsidRPr="00691E7E">
                        <w:rPr>
                          <w:sz w:val="18"/>
                          <w:szCs w:val="18"/>
                        </w:rPr>
                        <w:tab/>
                        <w:t>Proportion of biochar V/V added to topsoil 3.5m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 w:hanging="720"/>
                        <w:rPr>
                          <w:i/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ab/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>% biochar mixed in top 50cm of row 3.5m wide x 55m per block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>C</w:t>
                      </w:r>
                      <w:r w:rsidRPr="00691E7E">
                        <w:rPr>
                          <w:sz w:val="18"/>
                          <w:szCs w:val="18"/>
                        </w:rPr>
                        <w:tab/>
                        <w:t>Chicken manure/woody chip mulch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 w:hanging="720"/>
                        <w:rPr>
                          <w:i/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ab/>
                        <w:t xml:space="preserve">Ratio: </w:t>
                      </w:r>
                      <w:proofErr w:type="gramStart"/>
                      <w:r w:rsidRPr="00691E7E">
                        <w:rPr>
                          <w:sz w:val="18"/>
                          <w:szCs w:val="18"/>
                        </w:rPr>
                        <w:t>2</w:t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691E7E">
                        <w:rPr>
                          <w:i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91E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>Chicken</w:t>
                      </w:r>
                      <w:proofErr w:type="gramEnd"/>
                      <w:r w:rsidRPr="00691E7E">
                        <w:rPr>
                          <w:i/>
                          <w:sz w:val="18"/>
                          <w:szCs w:val="18"/>
                        </w:rPr>
                        <w:t xml:space="preserve"> manure (50:50 ground </w:t>
                      </w:r>
                      <w:proofErr w:type="spellStart"/>
                      <w:r w:rsidRPr="00691E7E">
                        <w:rPr>
                          <w:i/>
                          <w:sz w:val="18"/>
                          <w:szCs w:val="18"/>
                        </w:rPr>
                        <w:t>wood:manure</w:t>
                      </w:r>
                      <w:proofErr w:type="spellEnd"/>
                      <w:r w:rsidRPr="00691E7E">
                        <w:rPr>
                          <w:i/>
                          <w:sz w:val="18"/>
                          <w:szCs w:val="18"/>
                        </w:rPr>
                        <w:t>); m</w:t>
                      </w:r>
                      <w:r w:rsidRPr="00691E7E">
                        <w:rPr>
                          <w:i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 xml:space="preserve"> course woody chips; m</w:t>
                      </w:r>
                      <w:r w:rsidRPr="00691E7E">
                        <w:rPr>
                          <w:i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 xml:space="preserve"> old small sawdust  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>B-A-C</w:t>
                      </w:r>
                      <w:r w:rsidRPr="00691E7E">
                        <w:rPr>
                          <w:sz w:val="18"/>
                          <w:szCs w:val="18"/>
                        </w:rPr>
                        <w:tab/>
                        <w:t>Biochar-activated chicken manure/woody chip mulch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i/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 xml:space="preserve">Ratio: </w:t>
                      </w:r>
                      <w:proofErr w:type="gramStart"/>
                      <w:r w:rsidRPr="00691E7E">
                        <w:rPr>
                          <w:sz w:val="18"/>
                          <w:szCs w:val="18"/>
                        </w:rPr>
                        <w:t>2</w:t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691E7E">
                        <w:rPr>
                          <w:i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91E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>Chicken</w:t>
                      </w:r>
                      <w:proofErr w:type="gramEnd"/>
                      <w:r w:rsidRPr="00691E7E">
                        <w:rPr>
                          <w:i/>
                          <w:sz w:val="18"/>
                          <w:szCs w:val="18"/>
                        </w:rPr>
                        <w:t xml:space="preserve"> manure (50:50 ground </w:t>
                      </w:r>
                      <w:proofErr w:type="spellStart"/>
                      <w:r w:rsidRPr="00691E7E">
                        <w:rPr>
                          <w:i/>
                          <w:sz w:val="18"/>
                          <w:szCs w:val="18"/>
                        </w:rPr>
                        <w:t>wood:manure</w:t>
                      </w:r>
                      <w:proofErr w:type="spellEnd"/>
                      <w:r w:rsidRPr="00691E7E">
                        <w:rPr>
                          <w:i/>
                          <w:sz w:val="18"/>
                          <w:szCs w:val="18"/>
                        </w:rPr>
                        <w:t>); m</w:t>
                      </w:r>
                      <w:r w:rsidRPr="00691E7E">
                        <w:rPr>
                          <w:i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 xml:space="preserve"> course woody chips; m</w:t>
                      </w:r>
                      <w:r w:rsidRPr="00691E7E">
                        <w:rPr>
                          <w:i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 xml:space="preserve"> old small sawdust; m</w:t>
                      </w:r>
                      <w:r w:rsidRPr="00691E7E">
                        <w:rPr>
                          <w:i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691E7E">
                        <w:rPr>
                          <w:i/>
                          <w:sz w:val="18"/>
                          <w:szCs w:val="18"/>
                        </w:rPr>
                        <w:t xml:space="preserve"> biochar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>NIL</w:t>
                      </w:r>
                      <w:r w:rsidRPr="00691E7E">
                        <w:rPr>
                          <w:sz w:val="18"/>
                          <w:szCs w:val="18"/>
                        </w:rPr>
                        <w:tab/>
                        <w:t>Control with no nutrient rich composting mulch, standard industry practice applied</w:t>
                      </w:r>
                    </w:p>
                    <w:p w:rsidR="007353E4" w:rsidRPr="00691E7E" w:rsidRDefault="00DE7D6B" w:rsidP="007353E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>Each application has a replicate and matched pair (control)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>All will receive standard industry practice additional to treatments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>Each treatment is repeated for three soil types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>Trees are planted 4.5m apart, staked, sprinkler per tree, electronically tagged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>Rows are spaced at 9m intervals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 xml:space="preserve">Rows deep ripped (60cm), rotary hoed </w:t>
                      </w: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7353E4" w:rsidRPr="00691E7E" w:rsidRDefault="007353E4" w:rsidP="007353E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691E7E">
                        <w:rPr>
                          <w:sz w:val="18"/>
                          <w:szCs w:val="18"/>
                        </w:rPr>
                        <w:t xml:space="preserve">Planting zone 3.5m biochar (V/V) rotary hoed </w:t>
                      </w:r>
                      <w:proofErr w:type="spellStart"/>
                      <w:r w:rsidRPr="00691E7E">
                        <w:rPr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Pr="00691E7E">
                        <w:rPr>
                          <w:sz w:val="18"/>
                          <w:szCs w:val="18"/>
                        </w:rPr>
                        <w:t xml:space="preserve"> varying heights mounding will result</w:t>
                      </w:r>
                    </w:p>
                    <w:p w:rsidR="007353E4" w:rsidRDefault="007353E4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18"/>
          <w:szCs w:val="18"/>
        </w:rPr>
        <w:t xml:space="preserve">Project proponent: </w:t>
      </w:r>
      <w:r w:rsidRPr="00BB5503">
        <w:rPr>
          <w:rFonts w:ascii="Verdana" w:hAnsi="Verdana" w:cs="Arial"/>
          <w:sz w:val="18"/>
          <w:szCs w:val="18"/>
        </w:rPr>
        <w:t>Warren Catchments Council (</w:t>
      </w:r>
      <w:r w:rsidRPr="00BB5503">
        <w:rPr>
          <w:rFonts w:ascii="Verdana" w:hAnsi="Verdana" w:cs="Arial"/>
          <w:b/>
          <w:sz w:val="18"/>
          <w:szCs w:val="18"/>
        </w:rPr>
        <w:t xml:space="preserve">Doug </w:t>
      </w:r>
      <w:proofErr w:type="gramStart"/>
      <w:r w:rsidRPr="00BB5503">
        <w:rPr>
          <w:rFonts w:ascii="Verdana" w:hAnsi="Verdana" w:cs="Arial"/>
          <w:b/>
          <w:sz w:val="18"/>
          <w:szCs w:val="18"/>
        </w:rPr>
        <w:t>Pow</w:t>
      </w:r>
      <w:proofErr w:type="gramEnd"/>
      <w:r>
        <w:rPr>
          <w:rFonts w:ascii="Verdana" w:hAnsi="Verdana" w:cs="Arial"/>
          <w:sz w:val="18"/>
          <w:szCs w:val="18"/>
        </w:rPr>
        <w:t xml:space="preserve"> -</w:t>
      </w:r>
      <w:r w:rsidRPr="00BB5503">
        <w:rPr>
          <w:rFonts w:ascii="Verdana" w:hAnsi="Verdana" w:cs="Arial"/>
          <w:sz w:val="18"/>
          <w:szCs w:val="18"/>
        </w:rPr>
        <w:t xml:space="preserve"> landholder-researcher)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024"/>
        <w:gridCol w:w="1134"/>
        <w:gridCol w:w="851"/>
      </w:tblGrid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TREATMENT</w:t>
            </w:r>
          </w:p>
        </w:tc>
        <w:tc>
          <w:tcPr>
            <w:tcW w:w="1024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SOIL TYPE</w:t>
            </w:r>
          </w:p>
        </w:tc>
        <w:tc>
          <w:tcPr>
            <w:tcW w:w="1134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CONTROL</w:t>
            </w:r>
          </w:p>
        </w:tc>
        <w:tc>
          <w:tcPr>
            <w:tcW w:w="851" w:type="dxa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TREE #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C</w:t>
            </w:r>
          </w:p>
        </w:tc>
        <w:tc>
          <w:tcPr>
            <w:tcW w:w="1024" w:type="dxa"/>
            <w:vMerge w:val="restart"/>
            <w:shd w:val="clear" w:color="auto" w:fill="FFA161"/>
            <w:textDirection w:val="btLr"/>
            <w:vAlign w:val="center"/>
          </w:tcPr>
          <w:p w:rsidR="007353E4" w:rsidRPr="007353E4" w:rsidRDefault="007353E4" w:rsidP="007353E4">
            <w:pPr>
              <w:ind w:left="113" w:right="113"/>
              <w:jc w:val="center"/>
            </w:pPr>
            <w:r w:rsidRPr="007353E4">
              <w:t>RED KARRI LOAM ON CLAY</w:t>
            </w:r>
          </w:p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1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C</w:t>
            </w:r>
          </w:p>
        </w:tc>
        <w:tc>
          <w:tcPr>
            <w:tcW w:w="1024" w:type="dxa"/>
            <w:vMerge/>
            <w:shd w:val="clear" w:color="auto" w:fill="FFA161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2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B-A-C</w:t>
            </w:r>
          </w:p>
        </w:tc>
        <w:tc>
          <w:tcPr>
            <w:tcW w:w="1024" w:type="dxa"/>
            <w:vMerge/>
            <w:shd w:val="clear" w:color="auto" w:fill="FFA161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3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B-A-C</w:t>
            </w:r>
          </w:p>
        </w:tc>
        <w:tc>
          <w:tcPr>
            <w:tcW w:w="1024" w:type="dxa"/>
            <w:vMerge/>
            <w:shd w:val="clear" w:color="auto" w:fill="FFA161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4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C</w:t>
            </w:r>
          </w:p>
        </w:tc>
        <w:tc>
          <w:tcPr>
            <w:tcW w:w="1024" w:type="dxa"/>
            <w:vMerge/>
            <w:shd w:val="clear" w:color="auto" w:fill="FFA161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5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C</w:t>
            </w:r>
          </w:p>
        </w:tc>
        <w:tc>
          <w:tcPr>
            <w:tcW w:w="1024" w:type="dxa"/>
            <w:vMerge/>
            <w:shd w:val="clear" w:color="auto" w:fill="FFA161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6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B-A-C</w:t>
            </w:r>
          </w:p>
        </w:tc>
        <w:tc>
          <w:tcPr>
            <w:tcW w:w="1024" w:type="dxa"/>
            <w:vMerge/>
            <w:shd w:val="clear" w:color="auto" w:fill="FFA161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7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B-A-C</w:t>
            </w:r>
          </w:p>
        </w:tc>
        <w:tc>
          <w:tcPr>
            <w:tcW w:w="1024" w:type="dxa"/>
            <w:vMerge/>
            <w:shd w:val="clear" w:color="auto" w:fill="FFA161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8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C</w:t>
            </w:r>
          </w:p>
        </w:tc>
        <w:tc>
          <w:tcPr>
            <w:tcW w:w="1024" w:type="dxa"/>
            <w:vMerge/>
            <w:shd w:val="clear" w:color="auto" w:fill="FFA161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9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C</w:t>
            </w:r>
          </w:p>
        </w:tc>
        <w:tc>
          <w:tcPr>
            <w:tcW w:w="1024" w:type="dxa"/>
            <w:vMerge/>
            <w:shd w:val="clear" w:color="auto" w:fill="FFA161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10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B-A-C</w:t>
            </w:r>
          </w:p>
        </w:tc>
        <w:tc>
          <w:tcPr>
            <w:tcW w:w="1024" w:type="dxa"/>
            <w:vMerge/>
            <w:shd w:val="clear" w:color="auto" w:fill="FFA161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11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B-A-C</w:t>
            </w:r>
          </w:p>
        </w:tc>
        <w:tc>
          <w:tcPr>
            <w:tcW w:w="1024" w:type="dxa"/>
            <w:vMerge/>
            <w:shd w:val="clear" w:color="auto" w:fill="FFA161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12</w:t>
            </w:r>
          </w:p>
        </w:tc>
      </w:tr>
    </w:tbl>
    <w:p w:rsidR="007353E4" w:rsidRDefault="007353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024"/>
        <w:gridCol w:w="1134"/>
        <w:gridCol w:w="851"/>
      </w:tblGrid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C</w:t>
            </w:r>
          </w:p>
        </w:tc>
        <w:tc>
          <w:tcPr>
            <w:tcW w:w="1024" w:type="dxa"/>
            <w:vMerge w:val="restart"/>
            <w:shd w:val="clear" w:color="auto" w:fill="FF3300"/>
            <w:textDirection w:val="btLr"/>
            <w:vAlign w:val="center"/>
          </w:tcPr>
          <w:p w:rsidR="007353E4" w:rsidRPr="007353E4" w:rsidRDefault="007353E4" w:rsidP="007353E4">
            <w:pPr>
              <w:ind w:left="113" w:right="113"/>
              <w:jc w:val="center"/>
            </w:pPr>
            <w:r w:rsidRPr="007353E4">
              <w:rPr>
                <w:shd w:val="clear" w:color="auto" w:fill="FF3300"/>
              </w:rPr>
              <w:t>RED GRAVELLY KARRI LOAM ON DEEPER CLAY</w:t>
            </w:r>
          </w:p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13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C</w:t>
            </w:r>
          </w:p>
        </w:tc>
        <w:tc>
          <w:tcPr>
            <w:tcW w:w="1024" w:type="dxa"/>
            <w:vMerge/>
            <w:shd w:val="clear" w:color="auto" w:fill="FF3300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14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B-A-C</w:t>
            </w:r>
          </w:p>
        </w:tc>
        <w:tc>
          <w:tcPr>
            <w:tcW w:w="1024" w:type="dxa"/>
            <w:vMerge/>
            <w:shd w:val="clear" w:color="auto" w:fill="FF3300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FB3951">
            <w:r>
              <w:t>15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B-A-C</w:t>
            </w:r>
          </w:p>
        </w:tc>
        <w:tc>
          <w:tcPr>
            <w:tcW w:w="1024" w:type="dxa"/>
            <w:vMerge/>
            <w:shd w:val="clear" w:color="auto" w:fill="FF3300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16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C</w:t>
            </w:r>
          </w:p>
        </w:tc>
        <w:tc>
          <w:tcPr>
            <w:tcW w:w="1024" w:type="dxa"/>
            <w:vMerge/>
            <w:shd w:val="clear" w:color="auto" w:fill="FF3300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17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C</w:t>
            </w:r>
          </w:p>
        </w:tc>
        <w:tc>
          <w:tcPr>
            <w:tcW w:w="1024" w:type="dxa"/>
            <w:vMerge/>
            <w:shd w:val="clear" w:color="auto" w:fill="FF3300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FB3951">
            <w:r>
              <w:t>18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B-A-C</w:t>
            </w:r>
          </w:p>
        </w:tc>
        <w:tc>
          <w:tcPr>
            <w:tcW w:w="1024" w:type="dxa"/>
            <w:vMerge/>
            <w:shd w:val="clear" w:color="auto" w:fill="FF3300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19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B-A-C</w:t>
            </w:r>
          </w:p>
        </w:tc>
        <w:tc>
          <w:tcPr>
            <w:tcW w:w="1024" w:type="dxa"/>
            <w:vMerge/>
            <w:shd w:val="clear" w:color="auto" w:fill="FF3300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FB3951">
            <w:r>
              <w:t>20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C</w:t>
            </w:r>
          </w:p>
        </w:tc>
        <w:tc>
          <w:tcPr>
            <w:tcW w:w="1024" w:type="dxa"/>
            <w:vMerge/>
            <w:shd w:val="clear" w:color="auto" w:fill="FF3300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21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C</w:t>
            </w:r>
          </w:p>
        </w:tc>
        <w:tc>
          <w:tcPr>
            <w:tcW w:w="1024" w:type="dxa"/>
            <w:vMerge/>
            <w:shd w:val="clear" w:color="auto" w:fill="FF3300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22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B-A-C</w:t>
            </w:r>
          </w:p>
        </w:tc>
        <w:tc>
          <w:tcPr>
            <w:tcW w:w="1024" w:type="dxa"/>
            <w:vMerge/>
            <w:shd w:val="clear" w:color="auto" w:fill="FF3300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23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B-A-C</w:t>
            </w:r>
          </w:p>
        </w:tc>
        <w:tc>
          <w:tcPr>
            <w:tcW w:w="1024" w:type="dxa"/>
            <w:vMerge/>
            <w:shd w:val="clear" w:color="auto" w:fill="FF3300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24</w:t>
            </w:r>
          </w:p>
        </w:tc>
      </w:tr>
    </w:tbl>
    <w:p w:rsidR="007353E4" w:rsidRDefault="001F10C3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024"/>
        <w:gridCol w:w="1134"/>
        <w:gridCol w:w="851"/>
      </w:tblGrid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C</w:t>
            </w:r>
          </w:p>
        </w:tc>
        <w:tc>
          <w:tcPr>
            <w:tcW w:w="1024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7353E4" w:rsidRPr="007353E4" w:rsidRDefault="007353E4" w:rsidP="007353E4">
            <w:pPr>
              <w:ind w:left="113" w:right="113"/>
              <w:jc w:val="center"/>
            </w:pPr>
            <w:r w:rsidRPr="007353E4">
              <w:rPr>
                <w:shd w:val="clear" w:color="auto" w:fill="D99594" w:themeFill="accent2" w:themeFillTint="99"/>
              </w:rPr>
              <w:t>BROWN SANDY LOAM ON GRAVEL (NO CLAY &lt;60CM</w:t>
            </w:r>
            <w:r w:rsidRPr="007353E4">
              <w:t>)</w:t>
            </w:r>
          </w:p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25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C</w:t>
            </w:r>
          </w:p>
        </w:tc>
        <w:tc>
          <w:tcPr>
            <w:tcW w:w="1024" w:type="dxa"/>
            <w:vMerge/>
            <w:shd w:val="clear" w:color="auto" w:fill="D99594" w:themeFill="accent2" w:themeFillTint="99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26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B-A-C</w:t>
            </w:r>
          </w:p>
        </w:tc>
        <w:tc>
          <w:tcPr>
            <w:tcW w:w="1024" w:type="dxa"/>
            <w:vMerge/>
            <w:shd w:val="clear" w:color="auto" w:fill="D99594" w:themeFill="accent2" w:themeFillTint="99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27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20% B-A-C</w:t>
            </w:r>
          </w:p>
        </w:tc>
        <w:tc>
          <w:tcPr>
            <w:tcW w:w="1024" w:type="dxa"/>
            <w:vMerge/>
            <w:shd w:val="clear" w:color="auto" w:fill="D99594" w:themeFill="accent2" w:themeFillTint="99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28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C</w:t>
            </w:r>
          </w:p>
        </w:tc>
        <w:tc>
          <w:tcPr>
            <w:tcW w:w="1024" w:type="dxa"/>
            <w:vMerge/>
            <w:shd w:val="clear" w:color="auto" w:fill="D99594" w:themeFill="accent2" w:themeFillTint="99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29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C</w:t>
            </w:r>
          </w:p>
        </w:tc>
        <w:tc>
          <w:tcPr>
            <w:tcW w:w="1024" w:type="dxa"/>
            <w:vMerge/>
            <w:shd w:val="clear" w:color="auto" w:fill="D99594" w:themeFill="accent2" w:themeFillTint="99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FB3951">
            <w:r>
              <w:t>30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B-A-C</w:t>
            </w:r>
          </w:p>
        </w:tc>
        <w:tc>
          <w:tcPr>
            <w:tcW w:w="1024" w:type="dxa"/>
            <w:vMerge/>
            <w:shd w:val="clear" w:color="auto" w:fill="D99594" w:themeFill="accent2" w:themeFillTint="99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FB3951">
            <w:r>
              <w:t>31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10% B-A-C</w:t>
            </w:r>
          </w:p>
        </w:tc>
        <w:tc>
          <w:tcPr>
            <w:tcW w:w="1024" w:type="dxa"/>
            <w:vMerge/>
            <w:shd w:val="clear" w:color="auto" w:fill="D99594" w:themeFill="accent2" w:themeFillTint="99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32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C</w:t>
            </w:r>
          </w:p>
        </w:tc>
        <w:tc>
          <w:tcPr>
            <w:tcW w:w="1024" w:type="dxa"/>
            <w:vMerge/>
            <w:shd w:val="clear" w:color="auto" w:fill="D99594" w:themeFill="accent2" w:themeFillTint="99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33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C</w:t>
            </w:r>
          </w:p>
        </w:tc>
        <w:tc>
          <w:tcPr>
            <w:tcW w:w="1024" w:type="dxa"/>
            <w:vMerge/>
            <w:shd w:val="clear" w:color="auto" w:fill="D99594" w:themeFill="accent2" w:themeFillTint="99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34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B-A-C</w:t>
            </w:r>
          </w:p>
        </w:tc>
        <w:tc>
          <w:tcPr>
            <w:tcW w:w="1024" w:type="dxa"/>
            <w:vMerge/>
            <w:shd w:val="clear" w:color="auto" w:fill="D99594" w:themeFill="accent2" w:themeFillTint="99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35</w:t>
            </w:r>
          </w:p>
        </w:tc>
      </w:tr>
      <w:tr w:rsidR="007353E4" w:rsidRPr="007353E4" w:rsidTr="007353E4">
        <w:tc>
          <w:tcPr>
            <w:tcW w:w="1352" w:type="dxa"/>
            <w:vAlign w:val="center"/>
          </w:tcPr>
          <w:p w:rsidR="007353E4" w:rsidRPr="007353E4" w:rsidRDefault="007353E4" w:rsidP="007353E4">
            <w:pPr>
              <w:rPr>
                <w:b/>
              </w:rPr>
            </w:pPr>
            <w:r w:rsidRPr="007353E4">
              <w:rPr>
                <w:b/>
              </w:rPr>
              <w:t>5% B-A-C</w:t>
            </w:r>
          </w:p>
        </w:tc>
        <w:tc>
          <w:tcPr>
            <w:tcW w:w="1024" w:type="dxa"/>
            <w:vMerge/>
            <w:shd w:val="clear" w:color="auto" w:fill="D99594" w:themeFill="accent2" w:themeFillTint="99"/>
            <w:vAlign w:val="center"/>
          </w:tcPr>
          <w:p w:rsidR="007353E4" w:rsidRPr="007353E4" w:rsidRDefault="007353E4" w:rsidP="007353E4"/>
        </w:tc>
        <w:tc>
          <w:tcPr>
            <w:tcW w:w="1134" w:type="dxa"/>
            <w:vAlign w:val="center"/>
          </w:tcPr>
          <w:p w:rsidR="007353E4" w:rsidRPr="007353E4" w:rsidRDefault="007353E4" w:rsidP="007353E4">
            <w:r w:rsidRPr="007353E4">
              <w:t>B-A-C</w:t>
            </w:r>
          </w:p>
        </w:tc>
        <w:tc>
          <w:tcPr>
            <w:tcW w:w="851" w:type="dxa"/>
          </w:tcPr>
          <w:p w:rsidR="007353E4" w:rsidRPr="007353E4" w:rsidRDefault="00DE7D6B" w:rsidP="007353E4">
            <w:r>
              <w:t>36</w:t>
            </w:r>
          </w:p>
        </w:tc>
      </w:tr>
    </w:tbl>
    <w:p w:rsidR="007353E4" w:rsidRDefault="00BB5503">
      <w:bookmarkStart w:id="0" w:name="_GoBack"/>
      <w:bookmarkEnd w:id="0"/>
      <w:r w:rsidRPr="00BB5503">
        <w:rPr>
          <w:i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140D8" wp14:editId="20C149EE">
                <wp:simplePos x="0" y="0"/>
                <wp:positionH relativeFrom="column">
                  <wp:posOffset>-66675</wp:posOffset>
                </wp:positionH>
                <wp:positionV relativeFrom="paragraph">
                  <wp:posOffset>230505</wp:posOffset>
                </wp:positionV>
                <wp:extent cx="3133725" cy="8572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503" w:rsidRDefault="00BB5503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509C462" wp14:editId="32BF9D26">
                                  <wp:extent cx="714375" cy="524501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CC logo for publicatio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070" cy="535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02942F6B" wp14:editId="09EBD6EB">
                                  <wp:extent cx="1257300" cy="419742"/>
                                  <wp:effectExtent l="0" t="0" r="0" b="0"/>
                                  <wp:docPr id="15" name="Picture 15" descr="S:\Warren Catchments Council\IMAGES &amp; PR\1 Assorted LOGOS\Australian Government\nlp-logo-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Warren Catchments Council\IMAGES &amp; PR\1 Assorted LOGOS\Australian Government\nlp-logo-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080" cy="421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4AE911B" wp14:editId="580178DF">
                                  <wp:extent cx="658455" cy="312234"/>
                                  <wp:effectExtent l="0" t="0" r="889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550" cy="31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40D8" id="_x0000_s1027" type="#_x0000_t202" style="position:absolute;margin-left:-5.25pt;margin-top:18.15pt;width:246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" stroked="f">
                <v:textbox>
                  <w:txbxContent>
                    <w:p w:rsidR="00BB5503" w:rsidRDefault="00BB5503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509C462" wp14:editId="32BF9D26">
                            <wp:extent cx="714375" cy="524501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CC logo for publication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070" cy="535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02942F6B" wp14:editId="09EBD6EB">
                            <wp:extent cx="1257300" cy="419742"/>
                            <wp:effectExtent l="0" t="0" r="0" b="0"/>
                            <wp:docPr id="15" name="Picture 15" descr="S:\Warren Catchments Council\IMAGES &amp; PR\1 Assorted LOGOS\Australian Government\nlp-logo-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Warren Catchments Council\IMAGES &amp; PR\1 Assorted LOGOS\Australian Government\nlp-logo-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080" cy="421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4AE911B" wp14:editId="580178DF">
                            <wp:extent cx="658455" cy="312234"/>
                            <wp:effectExtent l="0" t="0" r="889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550" cy="31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53E4" w:rsidRDefault="007353E4"/>
    <w:p w:rsidR="007353E4" w:rsidRDefault="007353E4"/>
    <w:p w:rsidR="00BB5503" w:rsidRDefault="00BB5503" w:rsidP="00BB5503">
      <w:pPr>
        <w:pStyle w:val="Footer"/>
        <w:jc w:val="center"/>
        <w:rPr>
          <w:i/>
          <w:sz w:val="16"/>
          <w:szCs w:val="16"/>
        </w:rPr>
      </w:pPr>
    </w:p>
    <w:p w:rsidR="007353E4" w:rsidRPr="00BB5503" w:rsidRDefault="00BB5503" w:rsidP="00BB5503">
      <w:pPr>
        <w:pStyle w:val="Footer"/>
        <w:jc w:val="center"/>
        <w:rPr>
          <w:sz w:val="16"/>
          <w:szCs w:val="16"/>
        </w:rPr>
      </w:pPr>
      <w:r>
        <w:rPr>
          <w:i/>
          <w:sz w:val="16"/>
          <w:szCs w:val="16"/>
        </w:rPr>
        <w:t>The South West Catchments Council supports this project, through funding from the Australian Government and the Government of Western Australia</w:t>
      </w:r>
    </w:p>
    <w:p w:rsidR="007353E4" w:rsidRDefault="007353E4"/>
    <w:sectPr w:rsidR="007353E4" w:rsidSect="00735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E4"/>
    <w:rsid w:val="001F10C3"/>
    <w:rsid w:val="007353E4"/>
    <w:rsid w:val="00B92070"/>
    <w:rsid w:val="00BB5503"/>
    <w:rsid w:val="00DE7D6B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BC9456F-A011-498C-99D9-4D521F3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E4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55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Kathy</dc:creator>
  <cp:lastModifiedBy>DAWSON Kathy</cp:lastModifiedBy>
  <cp:revision>2</cp:revision>
  <dcterms:created xsi:type="dcterms:W3CDTF">2017-11-22T05:21:00Z</dcterms:created>
  <dcterms:modified xsi:type="dcterms:W3CDTF">2017-11-22T05:21:00Z</dcterms:modified>
</cp:coreProperties>
</file>